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C1" w:rsidRDefault="004572C1" w:rsidP="00B8477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  <w:bookmarkStart w:id="0" w:name="_GoBack"/>
      <w:bookmarkEnd w:id="0"/>
    </w:p>
    <w:p w:rsidR="00A308C8" w:rsidRDefault="007B2B03" w:rsidP="00B84772">
      <w:pPr>
        <w:spacing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 w:rsidRPr="008674DC">
        <w:rPr>
          <w:rFonts w:ascii="Times New Roman" w:hAnsi="Times New Roman"/>
          <w:b/>
          <w:sz w:val="24"/>
          <w:szCs w:val="24"/>
          <w:lang w:val="pt-PT"/>
        </w:rPr>
        <w:t>Gestão Participativa</w:t>
      </w:r>
      <w:r>
        <w:rPr>
          <w:rFonts w:ascii="Times New Roman" w:hAnsi="Times New Roman"/>
          <w:sz w:val="24"/>
          <w:szCs w:val="24"/>
          <w:lang w:val="pt-PT"/>
        </w:rPr>
        <w:t xml:space="preserve"> é </w:t>
      </w:r>
      <w:r w:rsidR="00976816" w:rsidRPr="00976816">
        <w:rPr>
          <w:rFonts w:ascii="Times New Roman" w:hAnsi="Times New Roman"/>
          <w:sz w:val="24"/>
          <w:szCs w:val="24"/>
          <w:lang w:val="pt-PT"/>
        </w:rPr>
        <w:t>a partilha d</w:t>
      </w:r>
      <w:r w:rsidR="00291656">
        <w:rPr>
          <w:rFonts w:ascii="Times New Roman" w:hAnsi="Times New Roman"/>
          <w:sz w:val="24"/>
          <w:szCs w:val="24"/>
          <w:lang w:val="pt-PT"/>
        </w:rPr>
        <w:t xml:space="preserve">e responsabilidade </w:t>
      </w:r>
      <w:r w:rsidR="00976816" w:rsidRPr="00976816">
        <w:rPr>
          <w:rFonts w:ascii="Times New Roman" w:hAnsi="Times New Roman"/>
          <w:sz w:val="24"/>
          <w:szCs w:val="24"/>
          <w:lang w:val="pt-PT"/>
        </w:rPr>
        <w:t>entre as instituiçõe</w:t>
      </w:r>
      <w:r w:rsidR="00AF7D2A">
        <w:rPr>
          <w:rFonts w:ascii="Times New Roman" w:hAnsi="Times New Roman"/>
          <w:sz w:val="24"/>
          <w:szCs w:val="24"/>
          <w:lang w:val="pt-PT"/>
        </w:rPr>
        <w:t xml:space="preserve">s do Governo, comunidades, </w:t>
      </w:r>
      <w:r w:rsidR="00767D9B">
        <w:rPr>
          <w:rFonts w:ascii="Times New Roman" w:hAnsi="Times New Roman"/>
          <w:sz w:val="24"/>
          <w:szCs w:val="24"/>
          <w:lang w:val="pt-PT"/>
        </w:rPr>
        <w:t xml:space="preserve">privados </w:t>
      </w:r>
      <w:r w:rsidR="00A308C8" w:rsidRPr="00277A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outros sectores que intervêm na implementação de medidas para a gestão, exploração, comercialização e ou aproveitamento dos recursos naturais/pesqueiros</w:t>
      </w:r>
      <w:r w:rsidR="004E09DD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.</w:t>
      </w:r>
    </w:p>
    <w:p w:rsidR="00F72708" w:rsidRDefault="00683E1D" w:rsidP="00B84772">
      <w:pPr>
        <w:spacing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A gestão participativa tem objectivo </w:t>
      </w:r>
      <w:r w:rsidR="004572C1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de:</w:t>
      </w:r>
    </w:p>
    <w:p w:rsidR="00C51290" w:rsidRDefault="00683E1D" w:rsidP="00B847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Garantir uma gestão responsável das pescarias; </w:t>
      </w:r>
    </w:p>
    <w:p w:rsidR="00683E1D" w:rsidRDefault="00C51290" w:rsidP="00B847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A</w:t>
      </w:r>
      <w:r w:rsidR="00683E1D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ssegurar o direito de acesso às pescarias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das comunidades pesqueiras tendo em vista a protecção e promoção do seu </w:t>
      </w:r>
      <w:r w:rsidR="004572C1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bem-estar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;</w:t>
      </w:r>
    </w:p>
    <w:p w:rsidR="00C51290" w:rsidRDefault="00C51290" w:rsidP="00B847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Promover a participação das comunidades pesqueiras na planificação e </w:t>
      </w:r>
      <w:r w:rsidR="004572C1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aplicação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das mexidas de ordenamento pesqueiro;</w:t>
      </w:r>
    </w:p>
    <w:p w:rsidR="00C51290" w:rsidRDefault="00C51290" w:rsidP="00B847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Fomentar actividades de formação através da extensão pesqueira;</w:t>
      </w:r>
    </w:p>
    <w:p w:rsidR="00EC24BB" w:rsidRDefault="00C51290" w:rsidP="00B847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Criar um ambiente </w:t>
      </w:r>
      <w:r w:rsidR="00F4218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favorável à coexistência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de pescadores artesanais</w:t>
      </w:r>
      <w:r w:rsidR="00CC33F1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, armadores de pesca semi-industrial e de pesca industrial.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</w:t>
      </w:r>
    </w:p>
    <w:p w:rsidR="003540A7" w:rsidRDefault="003540A7" w:rsidP="00B84772">
      <w:pPr>
        <w:spacing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</w:p>
    <w:p w:rsidR="00D532E8" w:rsidRDefault="00D532E8" w:rsidP="00B84772">
      <w:p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Os </w:t>
      </w:r>
      <w:r w:rsidR="00FB44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Fóruns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de sistema de gestão participativa onde todos os grupos de interesse se </w:t>
      </w:r>
      <w:r w:rsidR="00F862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encontram, </w:t>
      </w:r>
      <w:r w:rsidR="00FB44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são o Comité de Co-gestão e </w:t>
      </w:r>
      <w:r w:rsidR="00F862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a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</w:t>
      </w:r>
      <w:r w:rsidR="00B94009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Comissão de Administração Pesqueira (CAP)</w:t>
      </w:r>
      <w:r w:rsidR="00FB44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.</w:t>
      </w:r>
      <w:r w:rsidR="00B94009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</w:t>
      </w:r>
    </w:p>
    <w:p w:rsidR="00B71B96" w:rsidRDefault="00B71B96" w:rsidP="00B84772">
      <w:p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</w:p>
    <w:p w:rsidR="00CA6158" w:rsidRDefault="00FB44C0" w:rsidP="00B84772">
      <w:p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 w:rsidRPr="00FB44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A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CA615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 xml:space="preserve">Comissão de Administração </w:t>
      </w:r>
      <w:r w:rsidR="00C13422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>Pesqueira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 xml:space="preserve"> (CAP) </w:t>
      </w:r>
      <w:r w:rsid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é</w:t>
      </w:r>
      <w:r w:rsidR="00C12A45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o</w:t>
      </w:r>
      <w:r w:rsidR="00CA6158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</w:t>
      </w:r>
      <w:r w:rsidR="00BA15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órgão consultivo de Administração Pesqueira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que </w:t>
      </w:r>
      <w:r w:rsidR="00BA15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se pronuncia sobre matérias de interesse e de âmbito de preservação de recursos pesqueiros e da gestão das pescarias. </w:t>
      </w:r>
    </w:p>
    <w:p w:rsidR="00CE191B" w:rsidRDefault="00E83FF4" w:rsidP="00B84772">
      <w:p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Constituem </w:t>
      </w:r>
      <w:r w:rsidR="00CE191B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membros da CAP</w:t>
      </w:r>
      <w:r w:rsidR="00EB244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,</w:t>
      </w:r>
      <w:r w:rsidR="00CE191B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os Directores Nacionais responsáveis pela administração pesqueira e gestão das pescarias, representantes dos Institutos Nacionais tutelados pelo Ministério do Mar, Águas Interiores e Pescas, representantes de associações de armadores de pesca industrial, representantes de associações de armadores de pesca semi-industrial e representantes de organizações de pesca artesanal. </w:t>
      </w:r>
    </w:p>
    <w:p w:rsidR="00BA15C0" w:rsidRDefault="00487B93" w:rsidP="00B84772">
      <w:p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A </w:t>
      </w:r>
      <w:r w:rsidR="00E92DDB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CAP </w:t>
      </w:r>
      <w:r w:rsidR="00FB44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reúne-se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ordinariamente uma em cada </w:t>
      </w:r>
      <w:r w:rsidR="00871C1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trimestre e extraordinariamente</w:t>
      </w:r>
      <w:r w:rsidR="00E5069E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sempre qu</w:t>
      </w:r>
      <w:r w:rsidR="00AB5EF7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e for convocada pelo presidente.</w:t>
      </w:r>
      <w:r w:rsidR="009E10AD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</w:t>
      </w:r>
    </w:p>
    <w:p w:rsidR="000429BD" w:rsidRDefault="000429BD" w:rsidP="00B84772">
      <w:pPr>
        <w:spacing w:after="0"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</w:p>
    <w:p w:rsidR="00A47920" w:rsidRDefault="00A47920" w:rsidP="00B84772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</w:pPr>
    </w:p>
    <w:p w:rsidR="00A47920" w:rsidRDefault="00A47920" w:rsidP="00B84772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</w:pPr>
    </w:p>
    <w:p w:rsidR="00C12A45" w:rsidRDefault="00857946" w:rsidP="00B84772">
      <w:pPr>
        <w:spacing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 w:rsidRPr="00857946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>Comité de Co-gestão</w:t>
      </w:r>
      <w:r w:rsidR="00C12A4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 xml:space="preserve"> (CCG) </w:t>
      </w:r>
      <w:r w:rsidR="00C12A45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é o fórum de gestão participativa de nível local, distrital e provincial.</w:t>
      </w:r>
    </w:p>
    <w:p w:rsidR="003D2A6F" w:rsidRDefault="003D2A6F" w:rsidP="00B84772">
      <w:pPr>
        <w:spacing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O CCG </w:t>
      </w:r>
      <w:r w:rsidR="001C7A51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é composto por autoridade local de Administração Pesqueira ou seu representante, representantes dos Conselhos Comunitários de Pesca, de armadores de </w:t>
      </w:r>
      <w:r w:rsidR="00575BF3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pesca, da</w:t>
      </w:r>
      <w:r w:rsidR="001C7A51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investigação pesqueira, da extensão pesqueira, da autoridade </w:t>
      </w:r>
      <w:r w:rsidR="006B7DB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marítima</w:t>
      </w:r>
      <w:r w:rsidR="001C7A51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local, dos processadores do pescado e dos </w:t>
      </w:r>
      <w:r w:rsidR="006B7DB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comerciantes de</w:t>
      </w:r>
      <w:r w:rsidR="001C7A51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produtos de </w:t>
      </w:r>
      <w:r w:rsid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pesca. </w:t>
      </w:r>
      <w:r w:rsidR="00360ADE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O comité reúne-se ordinariamente uma vez em cada semestre, nos meses de Agosto ou Setembro ou Outubro</w:t>
      </w:r>
      <w:r w:rsidR="00F16055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e Março ou Abril ou Maio, e extraordinariamente sempre que for convocado pelo presidente ou a pedido de </w:t>
      </w:r>
      <w:r w:rsidR="006B7DB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pelo menos</w:t>
      </w:r>
      <w:r w:rsidR="00F16055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2/3 dos seus membros, o</w:t>
      </w:r>
      <w:r w:rsidR="00FB44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u</w:t>
      </w:r>
      <w:r w:rsidR="00F16055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a pedido de mais de um CCP </w:t>
      </w:r>
      <w:r w:rsidR="006B7DB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representados</w:t>
      </w:r>
      <w:r w:rsidR="00F16055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no CCG.</w:t>
      </w:r>
      <w:r w:rsidR="006B7DB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</w:t>
      </w:r>
    </w:p>
    <w:p w:rsidR="00613E77" w:rsidRDefault="00C12A45" w:rsidP="00420EFC">
      <w:pPr>
        <w:tabs>
          <w:tab w:val="left" w:pos="5730"/>
        </w:tabs>
        <w:spacing w:line="36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  <w:r w:rsidRPr="00B90F4F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B90F4F" w:rsidRPr="00B90F4F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>Cons</w:t>
      </w:r>
      <w:r w:rsidR="00CA13ED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>elho Comunitário</w:t>
      </w:r>
      <w:r w:rsidR="00B90F4F" w:rsidRPr="00B90F4F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 xml:space="preserve"> de Pesca</w:t>
      </w:r>
      <w:r w:rsidR="00CA13ED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CA13ED" w:rsidRP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é </w:t>
      </w:r>
      <w:r w:rsidR="00B0213A" w:rsidRP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uma organização</w:t>
      </w:r>
      <w:r w:rsidR="00CA13ED" w:rsidRP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comunitária</w:t>
      </w:r>
      <w:r w:rsidR="00B51C02" w:rsidRP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sem fins </w:t>
      </w:r>
      <w:r w:rsidR="00C13422" w:rsidRP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lucrativos, que</w:t>
      </w:r>
      <w:r w:rsidR="00B51C02" w:rsidRP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tem a tarefa de contribuir para a gestão participativa das pescarias, garantir o cumprimento das medidas de gestão vigentes, gerir conflitos resultantes</w:t>
      </w:r>
      <w:r w:rsidR="00C13422" w:rsidRP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da actividade de pesca, tendo em vista a sustentabilidade das a</w:t>
      </w:r>
      <w:r w:rsidR="00FB44C0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c</w:t>
      </w:r>
      <w:r w:rsidR="00C13422" w:rsidRPr="00C13422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>tividades na sua área geográfica e melhoria das condições de vida da população local.</w:t>
      </w:r>
      <w:r w:rsidR="00F4218F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</w:t>
      </w:r>
      <w:r w:rsidR="00B94009"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  <w:t xml:space="preserve">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366"/>
        <w:gridCol w:w="3170"/>
        <w:gridCol w:w="2552"/>
        <w:gridCol w:w="1984"/>
      </w:tblGrid>
      <w:tr w:rsidR="00613E77" w:rsidRPr="00723FB5" w:rsidTr="007C4D23">
        <w:trPr>
          <w:trHeight w:val="37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77" w:rsidRPr="001D615E" w:rsidRDefault="00613E77" w:rsidP="00613E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en-ZA"/>
              </w:rPr>
            </w:pPr>
            <w:r w:rsidRPr="001D61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pt-PT" w:eastAsia="en-ZA"/>
              </w:rPr>
              <w:t>Tabela</w:t>
            </w:r>
            <w:r w:rsidRPr="001D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en-ZA"/>
              </w:rPr>
              <w:t xml:space="preserve">: </w:t>
            </w:r>
            <w:r w:rsidR="002D0EF2" w:rsidRPr="001D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en-ZA"/>
              </w:rPr>
              <w:t>Número</w:t>
            </w:r>
            <w:r w:rsidR="003B563B" w:rsidRPr="001D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PT" w:eastAsia="en-ZA"/>
              </w:rPr>
              <w:t xml:space="preserve"> de CCPS e CCGs</w:t>
            </w:r>
          </w:p>
        </w:tc>
      </w:tr>
      <w:tr w:rsidR="00613E77" w:rsidRPr="00723FB5" w:rsidTr="007C4D23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pt-PT" w:eastAsia="en-ZA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 w:eastAsia="en-Z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 w:eastAsia="en-ZA"/>
              </w:rPr>
            </w:pPr>
          </w:p>
        </w:tc>
      </w:tr>
      <w:tr w:rsidR="00613E77" w:rsidRPr="00613E77" w:rsidTr="007C4D23">
        <w:trPr>
          <w:trHeight w:val="3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  <w:t>N/Ordem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Provincia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  <w:t>N de CCPs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ZA"/>
              </w:rPr>
              <w:t>N CCGs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Maputo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4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Gaza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4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Inhambane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2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Manica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903D12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/>
                <w:color w:val="000000"/>
                <w:lang w:eastAsia="en-ZA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0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Sofala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5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Tete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4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Zambezia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8607D4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/>
                <w:color w:val="000000"/>
                <w:lang w:eastAsia="en-ZA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4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Nampula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8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Niassa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6</w:t>
            </w:r>
          </w:p>
        </w:tc>
      </w:tr>
      <w:tr w:rsidR="00613E77" w:rsidRPr="00613E77" w:rsidTr="007C4D23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Cabo Delgado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8607D4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/>
                <w:color w:val="000000"/>
                <w:lang w:eastAsia="en-ZA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color w:val="000000"/>
                <w:lang w:eastAsia="en-ZA"/>
              </w:rPr>
              <w:t>8</w:t>
            </w:r>
          </w:p>
        </w:tc>
      </w:tr>
      <w:tr w:rsidR="00613E77" w:rsidRPr="00613E77" w:rsidTr="007C4D23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3E77" w:rsidRPr="00613E77" w:rsidRDefault="00903D12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3E77" w:rsidRPr="00613E77" w:rsidRDefault="00613E77" w:rsidP="00613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</w:pPr>
            <w:r w:rsidRPr="00613E77">
              <w:rPr>
                <w:rFonts w:ascii="Times New Roman" w:eastAsia="Times New Roman" w:hAnsi="Times New Roman"/>
                <w:b/>
                <w:bCs/>
                <w:color w:val="000000"/>
                <w:lang w:eastAsia="en-ZA"/>
              </w:rPr>
              <w:t>45</w:t>
            </w:r>
          </w:p>
        </w:tc>
      </w:tr>
    </w:tbl>
    <w:p w:rsidR="00F72708" w:rsidRDefault="00F72708" w:rsidP="00E536ED">
      <w:pPr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</w:p>
    <w:p w:rsidR="00EA13E7" w:rsidRDefault="00EA13E7" w:rsidP="00E536ED">
      <w:pPr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pt-PT"/>
        </w:rPr>
      </w:pPr>
    </w:p>
    <w:p w:rsidR="002C1E66" w:rsidRPr="00D37407" w:rsidRDefault="002C1E66" w:rsidP="00D37407">
      <w:pPr>
        <w:tabs>
          <w:tab w:val="left" w:pos="1440"/>
        </w:tabs>
        <w:rPr>
          <w:rFonts w:ascii="Times New Roman" w:hAnsi="Times New Roman"/>
          <w:sz w:val="24"/>
          <w:szCs w:val="24"/>
          <w:lang w:val="pt-PT"/>
        </w:rPr>
      </w:pPr>
    </w:p>
    <w:sectPr w:rsidR="002C1E66" w:rsidRPr="00D374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E0" w:rsidRDefault="001E35E0" w:rsidP="003540A7">
      <w:pPr>
        <w:spacing w:after="0" w:line="240" w:lineRule="auto"/>
      </w:pPr>
      <w:r>
        <w:separator/>
      </w:r>
    </w:p>
  </w:endnote>
  <w:endnote w:type="continuationSeparator" w:id="0">
    <w:p w:rsidR="001E35E0" w:rsidRDefault="001E35E0" w:rsidP="0035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E0" w:rsidRDefault="001E35E0" w:rsidP="003540A7">
      <w:pPr>
        <w:spacing w:after="0" w:line="240" w:lineRule="auto"/>
      </w:pPr>
      <w:r>
        <w:separator/>
      </w:r>
    </w:p>
  </w:footnote>
  <w:footnote w:type="continuationSeparator" w:id="0">
    <w:p w:rsidR="001E35E0" w:rsidRDefault="001E35E0" w:rsidP="0035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B5" w:rsidRPr="00B5249B" w:rsidRDefault="004572C1" w:rsidP="00723FB5">
    <w:pPr>
      <w:spacing w:after="0" w:line="240" w:lineRule="auto"/>
      <w:rPr>
        <w:rFonts w:ascii="Times New Roman" w:eastAsia="Times New Roman" w:hAnsi="Times New Roman"/>
        <w:color w:val="000000"/>
        <w:w w:val="104"/>
        <w:sz w:val="19"/>
        <w:szCs w:val="19"/>
        <w:lang w:val="pt-PT"/>
      </w:rPr>
    </w:pPr>
    <w:r w:rsidRPr="00B5249B">
      <w:rPr>
        <w:rFonts w:ascii="Times New Roman" w:hAnsi="Times New Roman"/>
        <w:noProof/>
        <w:sz w:val="24"/>
        <w:szCs w:val="24"/>
        <w:lang w:val="pt-PT" w:eastAsia="pt-PT"/>
      </w:rPr>
      <w:drawing>
        <wp:anchor distT="0" distB="0" distL="114300" distR="114300" simplePos="0" relativeHeight="251659264" behindDoc="1" locked="0" layoutInCell="0" allowOverlap="1" wp14:anchorId="19DB8C07" wp14:editId="16979E92">
          <wp:simplePos x="0" y="0"/>
          <wp:positionH relativeFrom="margin">
            <wp:posOffset>2588260</wp:posOffset>
          </wp:positionH>
          <wp:positionV relativeFrom="topMargin">
            <wp:posOffset>79375</wp:posOffset>
          </wp:positionV>
          <wp:extent cx="554990" cy="535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2C1" w:rsidRDefault="004572C1" w:rsidP="00723FB5">
    <w:pPr>
      <w:spacing w:after="0" w:line="240" w:lineRule="auto"/>
      <w:jc w:val="center"/>
      <w:rPr>
        <w:rFonts w:ascii="Times New Roman" w:eastAsia="Times New Roman" w:hAnsi="Times New Roman"/>
        <w:color w:val="000000"/>
        <w:w w:val="104"/>
        <w:sz w:val="19"/>
        <w:szCs w:val="19"/>
        <w:lang w:val="pt-PT"/>
      </w:rPr>
    </w:pPr>
  </w:p>
  <w:p w:rsidR="00723FB5" w:rsidRPr="00B5249B" w:rsidRDefault="00723FB5" w:rsidP="00723FB5">
    <w:pPr>
      <w:spacing w:after="0" w:line="240" w:lineRule="auto"/>
      <w:jc w:val="center"/>
      <w:rPr>
        <w:rFonts w:ascii="Times New Roman" w:eastAsia="Times New Roman" w:hAnsi="Times New Roman"/>
        <w:color w:val="000000"/>
        <w:w w:val="104"/>
        <w:sz w:val="19"/>
        <w:szCs w:val="19"/>
        <w:lang w:val="pt-PT"/>
      </w:rPr>
    </w:pPr>
    <w:r w:rsidRPr="00B5249B">
      <w:rPr>
        <w:rFonts w:ascii="Times New Roman" w:eastAsia="Times New Roman" w:hAnsi="Times New Roman"/>
        <w:noProof/>
        <w:sz w:val="20"/>
        <w:szCs w:val="20"/>
        <w:lang w:val="pt-PT" w:eastAsia="pt-PT"/>
      </w:rPr>
      <w:drawing>
        <wp:anchor distT="0" distB="0" distL="114300" distR="114300" simplePos="0" relativeHeight="251660288" behindDoc="1" locked="0" layoutInCell="0" allowOverlap="1" wp14:anchorId="51AAF917" wp14:editId="2722CE16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788670" cy="581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49" cy="58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49B">
      <w:rPr>
        <w:rFonts w:ascii="Times New Roman" w:eastAsia="Times New Roman" w:hAnsi="Times New Roman"/>
        <w:color w:val="000000"/>
        <w:w w:val="104"/>
        <w:sz w:val="19"/>
        <w:szCs w:val="19"/>
        <w:lang w:val="pt-PT"/>
      </w:rPr>
      <w:t>Ministério do Mar, Águas Interiores e Pescas</w:t>
    </w:r>
  </w:p>
  <w:p w:rsidR="00723FB5" w:rsidRPr="00B5249B" w:rsidRDefault="00723FB5" w:rsidP="00723FB5">
    <w:pPr>
      <w:spacing w:after="0" w:line="240" w:lineRule="auto"/>
      <w:jc w:val="center"/>
      <w:rPr>
        <w:rFonts w:ascii="Times New Roman" w:eastAsia="Times New Roman" w:hAnsi="Times New Roman"/>
        <w:color w:val="000000"/>
        <w:spacing w:val="3"/>
        <w:w w:val="104"/>
        <w:sz w:val="19"/>
        <w:szCs w:val="19"/>
        <w:lang w:val="pt-PT"/>
      </w:rPr>
    </w:pPr>
  </w:p>
  <w:p w:rsidR="00723FB5" w:rsidRPr="00B5249B" w:rsidRDefault="00723FB5" w:rsidP="00723FB5">
    <w:pPr>
      <w:widowControl w:val="0"/>
      <w:tabs>
        <w:tab w:val="center" w:pos="4326"/>
      </w:tabs>
      <w:autoSpaceDE w:val="0"/>
      <w:autoSpaceDN w:val="0"/>
      <w:adjustRightInd w:val="0"/>
      <w:spacing w:after="0" w:line="210" w:lineRule="exact"/>
      <w:ind w:right="1535"/>
      <w:rPr>
        <w:rFonts w:ascii="Times New Roman" w:hAnsi="Times New Roman"/>
        <w:color w:val="000000"/>
        <w:sz w:val="19"/>
        <w:szCs w:val="19"/>
        <w:lang w:val="pt-PT" w:eastAsia="ja-JP"/>
      </w:rPr>
    </w:pPr>
    <w:r w:rsidRPr="00B5249B">
      <w:rPr>
        <w:rFonts w:ascii="Times New Roman" w:eastAsia="Times New Roman" w:hAnsi="Times New Roman"/>
        <w:color w:val="000000"/>
        <w:sz w:val="19"/>
        <w:szCs w:val="19"/>
        <w:lang w:val="pt-PT"/>
      </w:rPr>
      <w:tab/>
    </w:r>
  </w:p>
  <w:p w:rsidR="00723FB5" w:rsidRPr="00B5249B" w:rsidRDefault="00723FB5" w:rsidP="00723FB5">
    <w:pPr>
      <w:widowControl w:val="0"/>
      <w:autoSpaceDE w:val="0"/>
      <w:autoSpaceDN w:val="0"/>
      <w:adjustRightInd w:val="0"/>
      <w:spacing w:after="13" w:line="343" w:lineRule="exact"/>
      <w:ind w:right="-23"/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</w:pPr>
    <w:r w:rsidRPr="00B5249B">
      <w:rPr>
        <w:rFonts w:ascii="Times New Roman" w:eastAsia="Times New Roman" w:hAnsi="Times New Roman"/>
        <w:b/>
        <w:bCs/>
        <w:color w:val="5B9BD4"/>
        <w:sz w:val="32"/>
        <w:szCs w:val="32"/>
        <w:lang w:val="pt-PT"/>
      </w:rPr>
      <w:t xml:space="preserve">                  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A</w:t>
    </w:r>
    <w:r w:rsidRPr="00B5249B">
      <w:rPr>
        <w:rFonts w:ascii="Times New Roman" w:eastAsia="Times New Roman" w:hAnsi="Times New Roman"/>
        <w:b/>
        <w:bCs/>
        <w:color w:val="5B9BD4"/>
        <w:spacing w:val="3"/>
        <w:sz w:val="36"/>
        <w:szCs w:val="36"/>
        <w:lang w:val="pt-PT"/>
      </w:rPr>
      <w:t>d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ministr</w:t>
    </w:r>
    <w:r w:rsidRPr="00B5249B">
      <w:rPr>
        <w:rFonts w:ascii="Times New Roman" w:eastAsia="Times New Roman" w:hAnsi="Times New Roman"/>
        <w:b/>
        <w:bCs/>
        <w:color w:val="5B9BD4"/>
        <w:spacing w:val="1"/>
        <w:sz w:val="36"/>
        <w:szCs w:val="36"/>
        <w:lang w:val="pt-PT"/>
      </w:rPr>
      <w:t>a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ç</w:t>
    </w:r>
    <w:r w:rsidRPr="00B5249B">
      <w:rPr>
        <w:rFonts w:ascii="Times New Roman" w:eastAsia="Times New Roman" w:hAnsi="Times New Roman"/>
        <w:b/>
        <w:bCs/>
        <w:color w:val="5B9BD4"/>
        <w:spacing w:val="1"/>
        <w:sz w:val="36"/>
        <w:szCs w:val="36"/>
        <w:lang w:val="pt-PT"/>
      </w:rPr>
      <w:t>ão</w:t>
    </w:r>
    <w:r w:rsidRPr="00B5249B">
      <w:rPr>
        <w:rFonts w:ascii="Times New Roman" w:eastAsia="Times New Roman" w:hAnsi="Times New Roman"/>
        <w:b/>
        <w:bCs/>
        <w:color w:val="5B9BD4"/>
        <w:spacing w:val="43"/>
        <w:sz w:val="36"/>
        <w:szCs w:val="36"/>
        <w:lang w:val="pt-PT"/>
      </w:rPr>
      <w:t xml:space="preserve"> </w:t>
    </w:r>
    <w:r w:rsidRPr="00B5249B">
      <w:rPr>
        <w:rFonts w:ascii="Times New Roman" w:eastAsia="Times New Roman" w:hAnsi="Times New Roman"/>
        <w:b/>
        <w:bCs/>
        <w:color w:val="5B9BD4"/>
        <w:spacing w:val="1"/>
        <w:sz w:val="36"/>
        <w:szCs w:val="36"/>
        <w:lang w:val="pt-PT"/>
      </w:rPr>
      <w:t>Na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ci</w:t>
    </w:r>
    <w:r w:rsidRPr="00B5249B">
      <w:rPr>
        <w:rFonts w:ascii="Times New Roman" w:eastAsia="Times New Roman" w:hAnsi="Times New Roman"/>
        <w:b/>
        <w:bCs/>
        <w:color w:val="5B9BD4"/>
        <w:spacing w:val="1"/>
        <w:sz w:val="36"/>
        <w:szCs w:val="36"/>
        <w:lang w:val="pt-PT"/>
      </w:rPr>
      <w:t>o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n</w:t>
    </w:r>
    <w:r w:rsidRPr="00B5249B">
      <w:rPr>
        <w:rFonts w:ascii="Times New Roman" w:eastAsia="Times New Roman" w:hAnsi="Times New Roman"/>
        <w:b/>
        <w:bCs/>
        <w:color w:val="5B9BD4"/>
        <w:spacing w:val="1"/>
        <w:sz w:val="36"/>
        <w:szCs w:val="36"/>
        <w:lang w:val="pt-PT"/>
      </w:rPr>
      <w:t>a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l</w:t>
    </w:r>
    <w:r w:rsidRPr="00B5249B">
      <w:rPr>
        <w:rFonts w:ascii="Times New Roman" w:eastAsia="Times New Roman" w:hAnsi="Times New Roman"/>
        <w:b/>
        <w:bCs/>
        <w:color w:val="5B9BD4"/>
        <w:spacing w:val="43"/>
        <w:sz w:val="36"/>
        <w:szCs w:val="36"/>
        <w:lang w:val="pt-PT"/>
      </w:rPr>
      <w:t xml:space="preserve"> 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da</w:t>
    </w:r>
    <w:r w:rsidRPr="00B5249B">
      <w:rPr>
        <w:rFonts w:ascii="Times New Roman" w:eastAsia="Times New Roman" w:hAnsi="Times New Roman"/>
        <w:b/>
        <w:bCs/>
        <w:color w:val="5B9BD4"/>
        <w:spacing w:val="1"/>
        <w:sz w:val="36"/>
        <w:szCs w:val="36"/>
        <w:lang w:val="pt-PT"/>
      </w:rPr>
      <w:t>s</w:t>
    </w:r>
    <w:r w:rsidRPr="00B5249B">
      <w:rPr>
        <w:rFonts w:ascii="Times New Roman" w:eastAsia="Times New Roman" w:hAnsi="Times New Roman"/>
        <w:b/>
        <w:bCs/>
        <w:color w:val="5B9BD4"/>
        <w:spacing w:val="42"/>
        <w:sz w:val="36"/>
        <w:szCs w:val="36"/>
        <w:lang w:val="pt-PT"/>
      </w:rPr>
      <w:t xml:space="preserve"> 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Pesc</w:t>
    </w:r>
    <w:r w:rsidRPr="00B5249B">
      <w:rPr>
        <w:rFonts w:ascii="Times New Roman" w:eastAsia="Times New Roman" w:hAnsi="Times New Roman"/>
        <w:b/>
        <w:bCs/>
        <w:color w:val="5B9BD4"/>
        <w:spacing w:val="2"/>
        <w:sz w:val="36"/>
        <w:szCs w:val="36"/>
        <w:lang w:val="pt-PT"/>
      </w:rPr>
      <w:t>a</w:t>
    </w:r>
    <w:r w:rsidRPr="00B5249B">
      <w:rPr>
        <w:rFonts w:ascii="Times New Roman" w:eastAsia="Times New Roman" w:hAnsi="Times New Roman"/>
        <w:b/>
        <w:bCs/>
        <w:color w:val="5B9BD4"/>
        <w:spacing w:val="3"/>
        <w:sz w:val="36"/>
        <w:szCs w:val="36"/>
        <w:lang w:val="pt-PT"/>
      </w:rPr>
      <w:t>s</w:t>
    </w:r>
    <w:r w:rsidRPr="00B5249B">
      <w:rPr>
        <w:rFonts w:ascii="Times New Roman" w:eastAsia="Times New Roman" w:hAnsi="Times New Roman"/>
        <w:b/>
        <w:bCs/>
        <w:color w:val="5B9BD4"/>
        <w:spacing w:val="42"/>
        <w:sz w:val="36"/>
        <w:szCs w:val="36"/>
        <w:lang w:val="pt-PT"/>
      </w:rPr>
      <w:t xml:space="preserve"> </w:t>
    </w:r>
    <w:r w:rsidRPr="00B5249B">
      <w:rPr>
        <w:rFonts w:ascii="Times New Roman" w:eastAsia="Times New Roman" w:hAnsi="Times New Roman"/>
        <w:b/>
        <w:bCs/>
        <w:color w:val="5B9BD4"/>
        <w:sz w:val="36"/>
        <w:szCs w:val="36"/>
        <w:lang w:val="pt-PT"/>
      </w:rPr>
      <w:t>–ADNAP</w:t>
    </w:r>
  </w:p>
  <w:p w:rsidR="00723FB5" w:rsidRPr="004572C1" w:rsidRDefault="00723FB5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7E7A"/>
    <w:multiLevelType w:val="hybridMultilevel"/>
    <w:tmpl w:val="BCF20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330E"/>
    <w:multiLevelType w:val="hybridMultilevel"/>
    <w:tmpl w:val="CFA2F6A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27684"/>
    <w:multiLevelType w:val="hybridMultilevel"/>
    <w:tmpl w:val="F27ADAB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1858"/>
    <w:multiLevelType w:val="hybridMultilevel"/>
    <w:tmpl w:val="1F74FD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5327F"/>
    <w:multiLevelType w:val="hybridMultilevel"/>
    <w:tmpl w:val="D3ECB0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67"/>
    <w:rsid w:val="0003472C"/>
    <w:rsid w:val="000429BD"/>
    <w:rsid w:val="000548FB"/>
    <w:rsid w:val="000833B0"/>
    <w:rsid w:val="001416CA"/>
    <w:rsid w:val="00180FAB"/>
    <w:rsid w:val="001B734A"/>
    <w:rsid w:val="001C7A51"/>
    <w:rsid w:val="001D615E"/>
    <w:rsid w:val="001E35E0"/>
    <w:rsid w:val="00291656"/>
    <w:rsid w:val="002C1E66"/>
    <w:rsid w:val="002D0EF2"/>
    <w:rsid w:val="002D4639"/>
    <w:rsid w:val="002E74D2"/>
    <w:rsid w:val="003540A7"/>
    <w:rsid w:val="00360ADE"/>
    <w:rsid w:val="00377271"/>
    <w:rsid w:val="003A32D7"/>
    <w:rsid w:val="003B04C6"/>
    <w:rsid w:val="003B563B"/>
    <w:rsid w:val="003D2A6F"/>
    <w:rsid w:val="00420EFC"/>
    <w:rsid w:val="004572C1"/>
    <w:rsid w:val="00487B93"/>
    <w:rsid w:val="004930EC"/>
    <w:rsid w:val="004B23FC"/>
    <w:rsid w:val="004E09DD"/>
    <w:rsid w:val="004F3D9B"/>
    <w:rsid w:val="00554467"/>
    <w:rsid w:val="00575BF3"/>
    <w:rsid w:val="00611262"/>
    <w:rsid w:val="00612CED"/>
    <w:rsid w:val="00613E77"/>
    <w:rsid w:val="0064698B"/>
    <w:rsid w:val="0065157A"/>
    <w:rsid w:val="00676FA5"/>
    <w:rsid w:val="00683E1D"/>
    <w:rsid w:val="00691E74"/>
    <w:rsid w:val="006B7DBF"/>
    <w:rsid w:val="00705C1C"/>
    <w:rsid w:val="00723FB5"/>
    <w:rsid w:val="0076795A"/>
    <w:rsid w:val="00767D9B"/>
    <w:rsid w:val="007949EF"/>
    <w:rsid w:val="007A16D5"/>
    <w:rsid w:val="007B03AB"/>
    <w:rsid w:val="007B2B03"/>
    <w:rsid w:val="007C4D23"/>
    <w:rsid w:val="00857946"/>
    <w:rsid w:val="008607D4"/>
    <w:rsid w:val="008674DC"/>
    <w:rsid w:val="00871C1F"/>
    <w:rsid w:val="008A7F25"/>
    <w:rsid w:val="008B7183"/>
    <w:rsid w:val="008E665D"/>
    <w:rsid w:val="00903D12"/>
    <w:rsid w:val="009448EC"/>
    <w:rsid w:val="00976816"/>
    <w:rsid w:val="009955DC"/>
    <w:rsid w:val="009B4F10"/>
    <w:rsid w:val="009E10AD"/>
    <w:rsid w:val="00A308C8"/>
    <w:rsid w:val="00A47920"/>
    <w:rsid w:val="00A67969"/>
    <w:rsid w:val="00A94925"/>
    <w:rsid w:val="00AB5EF7"/>
    <w:rsid w:val="00AD23A1"/>
    <w:rsid w:val="00AF7D2A"/>
    <w:rsid w:val="00B0213A"/>
    <w:rsid w:val="00B2080E"/>
    <w:rsid w:val="00B51C02"/>
    <w:rsid w:val="00B57F09"/>
    <w:rsid w:val="00B71B96"/>
    <w:rsid w:val="00B84772"/>
    <w:rsid w:val="00B90F4F"/>
    <w:rsid w:val="00B94009"/>
    <w:rsid w:val="00B96589"/>
    <w:rsid w:val="00BA15C0"/>
    <w:rsid w:val="00BB04FA"/>
    <w:rsid w:val="00BB0D22"/>
    <w:rsid w:val="00C12A45"/>
    <w:rsid w:val="00C13422"/>
    <w:rsid w:val="00C272E9"/>
    <w:rsid w:val="00C51290"/>
    <w:rsid w:val="00C61461"/>
    <w:rsid w:val="00C6161D"/>
    <w:rsid w:val="00CA13ED"/>
    <w:rsid w:val="00CA6158"/>
    <w:rsid w:val="00CC1470"/>
    <w:rsid w:val="00CC33F1"/>
    <w:rsid w:val="00CE191B"/>
    <w:rsid w:val="00CF5537"/>
    <w:rsid w:val="00D11CAD"/>
    <w:rsid w:val="00D37407"/>
    <w:rsid w:val="00D46F1A"/>
    <w:rsid w:val="00D532E8"/>
    <w:rsid w:val="00D91AC1"/>
    <w:rsid w:val="00DE02CF"/>
    <w:rsid w:val="00E00036"/>
    <w:rsid w:val="00E5069E"/>
    <w:rsid w:val="00E536ED"/>
    <w:rsid w:val="00E773D0"/>
    <w:rsid w:val="00E83FF4"/>
    <w:rsid w:val="00E92DDB"/>
    <w:rsid w:val="00EA13E7"/>
    <w:rsid w:val="00EB244F"/>
    <w:rsid w:val="00EC24BB"/>
    <w:rsid w:val="00EE13FD"/>
    <w:rsid w:val="00EF5F22"/>
    <w:rsid w:val="00F16055"/>
    <w:rsid w:val="00F4218F"/>
    <w:rsid w:val="00F56BC1"/>
    <w:rsid w:val="00F72708"/>
    <w:rsid w:val="00F86222"/>
    <w:rsid w:val="00FA55B6"/>
    <w:rsid w:val="00FB44C0"/>
    <w:rsid w:val="00FE4EB6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B83B-7E7E-413D-AB6D-FFB1D2DF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89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A7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4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A7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CP. Munguambe</dc:creator>
  <cp:keywords/>
  <dc:description/>
  <cp:lastModifiedBy>user</cp:lastModifiedBy>
  <cp:revision>2</cp:revision>
  <dcterms:created xsi:type="dcterms:W3CDTF">2019-03-07T08:52:00Z</dcterms:created>
  <dcterms:modified xsi:type="dcterms:W3CDTF">2019-03-07T08:52:00Z</dcterms:modified>
</cp:coreProperties>
</file>